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30j0zll" w:id="1"/>
      <w:bookmarkEnd w:id="1"/>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"Accounting Reference Date"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sz w:val="24"/>
                <w:szCs w:val="24"/>
              </w:rPr>
            </w:pPr>
            <w:r w:rsidDel="00000000" w:rsidR="00000000" w:rsidRPr="00000000">
              <w:rPr>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sz w:val="24"/>
                <w:szCs w:val="24"/>
              </w:rPr>
            </w:pPr>
            <w:r w:rsidDel="00000000" w:rsidR="00000000" w:rsidRPr="00000000">
              <w:rPr>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sz w:val="24"/>
                <w:szCs w:val="24"/>
              </w:rPr>
            </w:pPr>
            <w:r w:rsidDel="00000000" w:rsidR="00000000" w:rsidRPr="00000000">
              <w:rPr>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sz w:val="24"/>
                <w:szCs w:val="24"/>
              </w:rPr>
            </w:pPr>
            <w:r w:rsidDel="00000000" w:rsidR="00000000" w:rsidRPr="00000000">
              <w:rPr>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"Cabinet Office Markets and Suppliers Team"</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“Class 1 Transaction”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“Control”</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“Corporate Change Event”</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5">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shd w:fill="auto" w:val="clear"/>
              </w:rPr>
            </w:pPr>
            <w:r w:rsidDel="00000000" w:rsidR="00000000" w:rsidRPr="00000000">
              <w:rPr>
                <w:i w:val="0"/>
                <w:smallCaps w:val="0"/>
                <w:strike w:val="0"/>
                <w:color w:val="000000"/>
                <w:sz w:val="24"/>
                <w:szCs w:val="24"/>
                <w:u w:val="none"/>
                <w:shd w:fill="auto" w:val="clear"/>
                <w:vertAlign w:val="baseline"/>
                <w:rtl w:val="0"/>
              </w:rPr>
              <w:t xml:space="preserve">any change of Control of the Supplier or a Parent Undertaking of the Supplier;</w:t>
            </w:r>
            <w:r w:rsidDel="00000000" w:rsidR="00000000" w:rsidRPr="00000000">
              <w:rPr>
                <w:rtl w:val="0"/>
              </w:rPr>
            </w:r>
          </w:p>
          <w:p w:rsidR="00000000" w:rsidDel="00000000" w:rsidP="00000000" w:rsidRDefault="00000000" w:rsidRPr="00000000" w14:paraId="00000016">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shd w:fill="auto" w:val="clear"/>
              </w:rPr>
            </w:pPr>
            <w:r w:rsidDel="00000000" w:rsidR="00000000" w:rsidRPr="00000000">
              <w:rPr>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r w:rsidDel="00000000" w:rsidR="00000000" w:rsidRPr="00000000">
              <w:rPr>
                <w:rtl w:val="0"/>
              </w:rPr>
            </w:r>
          </w:p>
          <w:p w:rsidR="00000000" w:rsidDel="00000000" w:rsidP="00000000" w:rsidRDefault="00000000" w:rsidRPr="00000000" w14:paraId="00000017">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shd w:fill="auto" w:val="clear"/>
              </w:rPr>
            </w:pPr>
            <w:r w:rsidDel="00000000" w:rsidR="00000000" w:rsidRPr="00000000">
              <w:rPr>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r w:rsidDel="00000000" w:rsidR="00000000" w:rsidRPr="00000000">
              <w:rPr>
                <w:rtl w:val="0"/>
              </w:rPr>
            </w:r>
          </w:p>
          <w:p w:rsidR="00000000" w:rsidDel="00000000" w:rsidP="00000000" w:rsidRDefault="00000000" w:rsidRPr="00000000" w14:paraId="00000018">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shd w:fill="auto" w:val="clear"/>
              </w:rPr>
            </w:pPr>
            <w:r w:rsidDel="00000000" w:rsidR="00000000" w:rsidRPr="00000000">
              <w:rPr>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r w:rsidDel="00000000" w:rsidR="00000000" w:rsidRPr="00000000">
              <w:rPr>
                <w:rtl w:val="0"/>
              </w:rPr>
            </w:r>
          </w:p>
          <w:p w:rsidR="00000000" w:rsidDel="00000000" w:rsidP="00000000" w:rsidRDefault="00000000" w:rsidRPr="00000000" w14:paraId="00000019">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shd w:fill="auto" w:val="clear"/>
              </w:rPr>
            </w:pPr>
            <w:r w:rsidDel="00000000" w:rsidR="00000000" w:rsidRPr="00000000">
              <w:rPr>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r w:rsidDel="00000000" w:rsidR="00000000" w:rsidRPr="00000000">
              <w:rPr>
                <w:rtl w:val="0"/>
              </w:rPr>
            </w:r>
          </w:p>
          <w:p w:rsidR="00000000" w:rsidDel="00000000" w:rsidP="00000000" w:rsidRDefault="00000000" w:rsidRPr="00000000" w14:paraId="0000001A">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shd w:fill="auto" w:val="clear"/>
              </w:rPr>
            </w:pPr>
            <w:r w:rsidDel="00000000" w:rsidR="00000000" w:rsidRPr="00000000">
              <w:rPr>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r w:rsidDel="00000000" w:rsidR="00000000" w:rsidRPr="00000000">
              <w:rPr>
                <w:rtl w:val="0"/>
              </w:rPr>
            </w:r>
          </w:p>
          <w:p w:rsidR="00000000" w:rsidDel="00000000" w:rsidP="00000000" w:rsidRDefault="00000000" w:rsidRPr="00000000" w14:paraId="0000001B">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shd w:fill="auto" w:val="clear"/>
              </w:rPr>
            </w:pPr>
            <w:r w:rsidDel="00000000" w:rsidR="00000000" w:rsidRPr="00000000">
              <w:rPr>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r w:rsidDel="00000000" w:rsidR="00000000" w:rsidRPr="00000000">
              <w:rPr>
                <w:rtl w:val="0"/>
              </w:rPr>
            </w:r>
          </w:p>
          <w:p w:rsidR="00000000" w:rsidDel="00000000" w:rsidP="00000000" w:rsidRDefault="00000000" w:rsidRPr="00000000" w14:paraId="0000001C">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shd w:fill="auto" w:val="clear"/>
              </w:rPr>
            </w:pPr>
            <w:r w:rsidDel="00000000" w:rsidR="00000000" w:rsidRPr="00000000">
              <w:rPr>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r w:rsidDel="00000000" w:rsidR="00000000" w:rsidRPr="00000000">
              <w:rPr>
                <w:rtl w:val="0"/>
              </w:rPr>
            </w:r>
          </w:p>
          <w:p w:rsidR="00000000" w:rsidDel="00000000" w:rsidP="00000000" w:rsidRDefault="00000000" w:rsidRPr="00000000" w14:paraId="0000001D">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shd w:fill="auto" w:val="clear"/>
              </w:rPr>
            </w:pPr>
            <w:r w:rsidDel="00000000" w:rsidR="00000000" w:rsidRPr="00000000">
              <w:rPr>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r w:rsidDel="00000000" w:rsidR="00000000" w:rsidRPr="00000000">
              <w:rPr>
                <w:rtl w:val="0"/>
              </w:rPr>
            </w:r>
          </w:p>
          <w:p w:rsidR="00000000" w:rsidDel="00000000" w:rsidP="00000000" w:rsidRDefault="00000000" w:rsidRPr="00000000" w14:paraId="0000001E">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sz w:val="24"/>
                <w:szCs w:val="24"/>
                <w:shd w:fill="auto" w:val="clear"/>
              </w:rPr>
            </w:pPr>
            <w:r w:rsidDel="00000000" w:rsidR="00000000" w:rsidRPr="00000000">
              <w:rPr>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r w:rsidDel="00000000" w:rsidR="00000000" w:rsidRPr="00000000">
              <w:rPr>
                <w:rtl w:val="0"/>
              </w:rPr>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"Corporate Change Event Grace Period"</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00" w:before="100" w:lineRule="auto"/>
              <w:ind w:left="0" w:firstLine="0"/>
              <w:jc w:val="left"/>
              <w:rPr>
                <w:sz w:val="24"/>
                <w:szCs w:val="24"/>
              </w:rPr>
            </w:pPr>
            <w:r w:rsidDel="00000000" w:rsidR="00000000" w:rsidRPr="00000000">
              <w:rPr>
                <w:sz w:val="24"/>
                <w:szCs w:val="24"/>
                <w:rtl w:val="0"/>
              </w:rPr>
              <w:t xml:space="preserve">means a grace period agreed to by the Appropriate Authority for providing CRP Information and/or updates to Business  Continuity Plan after a Corporate Change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"Corporate Resolvability Assessment (Structural Review)"</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sz w:val="24"/>
                <w:szCs w:val="24"/>
              </w:rPr>
            </w:pPr>
            <w:r w:rsidDel="00000000" w:rsidR="00000000" w:rsidRPr="00000000">
              <w:rPr>
                <w:sz w:val="24"/>
                <w:szCs w:val="24"/>
                <w:rtl w:val="0"/>
              </w:rPr>
              <w:t xml:space="preserve">means part of the CRP Information relating to the Supplier Group to be provided by the Supplier in accordance with Paragraph 3 and Annex 2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“Critical National Infrastructure” or “CNI”</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before="100" w:lineRule="auto"/>
              <w:ind w:left="0" w:firstLine="0"/>
              <w:jc w:val="left"/>
              <w:rPr>
                <w:sz w:val="24"/>
                <w:szCs w:val="24"/>
              </w:rPr>
            </w:pPr>
            <w:r w:rsidDel="00000000" w:rsidR="00000000" w:rsidRPr="00000000">
              <w:rPr>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0" w:firstLine="0"/>
              <w:rPr>
                <w:sz w:val="24"/>
                <w:szCs w:val="24"/>
              </w:rPr>
            </w:pPr>
            <w:r w:rsidDel="00000000" w:rsidR="00000000" w:rsidRPr="00000000">
              <w:rPr>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“Critical Service Contract”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“CRP Information”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sz w:val="24"/>
                <w:szCs w:val="24"/>
              </w:rPr>
            </w:pPr>
            <w:r w:rsidDel="00000000" w:rsidR="00000000" w:rsidRPr="00000000">
              <w:rPr>
                <w:sz w:val="24"/>
                <w:szCs w:val="24"/>
                <w:rtl w:val="0"/>
              </w:rPr>
              <w:t xml:space="preserve">means the corporate resolution planning information, together, the:</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(c) Financial Information and Commentary</w:t>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“Public Sector Dependent Supplier”</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“Strategic Supplier”</w:t>
            </w:r>
          </w:p>
        </w:tc>
        <w:tc>
          <w:tcPr/>
          <w:p w:rsidR="00000000" w:rsidDel="00000000" w:rsidP="00000000" w:rsidRDefault="00000000" w:rsidRPr="00000000" w14:paraId="00000031">
            <w:pPr>
              <w:tabs>
                <w:tab w:val="left" w:leader="none" w:pos="-9"/>
              </w:tabs>
              <w:spacing w:after="120" w:lineRule="auto"/>
              <w:ind w:left="0" w:firstLine="0"/>
              <w:jc w:val="left"/>
              <w:rPr>
                <w:sz w:val="24"/>
                <w:szCs w:val="24"/>
              </w:rPr>
            </w:pPr>
            <w:r w:rsidDel="00000000" w:rsidR="00000000" w:rsidRPr="00000000">
              <w:rPr>
                <w:sz w:val="24"/>
                <w:szCs w:val="24"/>
                <w:rtl w:val="0"/>
              </w:rPr>
              <w:t xml:space="preserve">means those suppliers to government listed at</w:t>
            </w:r>
          </w:p>
          <w:p w:rsidR="00000000" w:rsidDel="00000000" w:rsidP="00000000" w:rsidRDefault="00000000" w:rsidRPr="00000000" w14:paraId="00000032">
            <w:pPr>
              <w:tabs>
                <w:tab w:val="left" w:leader="none" w:pos="-9"/>
              </w:tabs>
              <w:spacing w:after="120" w:lineRule="auto"/>
              <w:ind w:left="0" w:firstLine="0"/>
              <w:jc w:val="left"/>
              <w:rPr>
                <w:sz w:val="24"/>
                <w:szCs w:val="24"/>
              </w:rPr>
            </w:pPr>
            <w:r w:rsidDel="00000000" w:rsidR="00000000" w:rsidRPr="00000000">
              <w:rPr>
                <w:sz w:val="24"/>
                <w:szCs w:val="24"/>
                <w:rtl w:val="0"/>
              </w:rPr>
              <w:t xml:space="preserve">https://www.gov.uk/government/publications/strategic-suppliers;</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“UK Public Sector Business”</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“UK Public Sector / CNI Contract Information”</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8">
      <w:pPr>
        <w:ind w:left="0" w:firstLine="0"/>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notify the Buyer </w:t>
      </w:r>
      <w:r w:rsidDel="00000000" w:rsidR="00000000" w:rsidRPr="00000000">
        <w:rPr>
          <w:color w:val="000000"/>
          <w:rtl w:val="0"/>
        </w:rPr>
        <w:t xml:space="preserve">and the Cabinet Office Markets and Suppliers </w:t>
      </w:r>
      <w:r w:rsidDel="00000000" w:rsidR="00000000" w:rsidRPr="00000000">
        <w:rPr>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w:t>
      </w:r>
      <w:r w:rsidDel="00000000" w:rsidR="00000000" w:rsidRPr="00000000">
        <w:rPr>
          <w:color w:val="000000"/>
          <w:rtl w:val="0"/>
        </w:rPr>
        <w:t xml:space="preserve">The contact email address for the Markets and Suppliers Team is </w:t>
      </w:r>
      <w:hyperlink r:id="rId6">
        <w:r w:rsidDel="00000000" w:rsidR="00000000" w:rsidRPr="00000000">
          <w:rPr>
            <w:color w:val="0000ff"/>
            <w:u w:val="single"/>
            <w:rtl w:val="0"/>
          </w:rPr>
          <w:t xml:space="preserve">resolution.planning@cabinetoffice.gov.uk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40">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43">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44">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46">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47">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4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4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4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09"/>
        <w:rPr>
          <w:color w:val="000000"/>
          <w:sz w:val="24"/>
          <w:szCs w:val="24"/>
        </w:rPr>
      </w:pPr>
      <w:r w:rsidDel="00000000" w:rsidR="00000000" w:rsidRPr="00000000">
        <w:rPr>
          <w:rtl w:val="0"/>
        </w:rPr>
      </w:r>
    </w:p>
    <w:p w:rsidR="00000000" w:rsidDel="00000000" w:rsidP="00000000" w:rsidRDefault="00000000" w:rsidRPr="00000000" w14:paraId="0000004D">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4E">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4F">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52">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3">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56">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57">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59">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5A">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5B">
      <w:pPr>
        <w:keepNext w:val="1"/>
        <w:numPr>
          <w:ilvl w:val="3"/>
          <w:numId w:val="2"/>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rtl w:val="0"/>
        </w:rPr>
        <w:t xml:space="preserve">the Supplier requests and the Appropriate Authority (acting reasonably) agrees to a </w:t>
      </w:r>
      <w:r w:rsidDel="00000000" w:rsidR="00000000" w:rsidRPr="00000000">
        <w:rPr>
          <w:highlight w:val="yellow"/>
          <w:rtl w:val="0"/>
        </w:rPr>
        <w:t xml:space="preserve">Corporate Change Event Grace Period</w:t>
      </w:r>
      <w:r w:rsidDel="00000000" w:rsidR="00000000" w:rsidRPr="00000000">
        <w:rPr>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r w:rsidDel="00000000" w:rsidR="00000000" w:rsidRPr="00000000">
        <w:rPr>
          <w:rtl w:val="0"/>
        </w:rPr>
      </w:r>
    </w:p>
    <w:p w:rsidR="00000000" w:rsidDel="00000000" w:rsidP="00000000" w:rsidRDefault="00000000" w:rsidRPr="00000000" w14:paraId="0000005C">
      <w:pPr>
        <w:keepNext w:val="1"/>
        <w:numPr>
          <w:ilvl w:val="3"/>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5D">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5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5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60">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6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64">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65">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66">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67">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6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6C">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6D">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6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71">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1fob9te" w:id="2"/>
      <w:bookmarkEnd w:id="2"/>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74">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75">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7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7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7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7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7A">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C">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7E">
      <w:pPr>
        <w:numPr>
          <w:ilvl w:val="0"/>
          <w:numId w:val="5"/>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The Supplier shall:</w:t>
      </w:r>
    </w:p>
    <w:p w:rsidR="00000000" w:rsidDel="00000000" w:rsidP="00000000" w:rsidRDefault="00000000" w:rsidRPr="00000000" w14:paraId="0000007F">
      <w:pPr>
        <w:numPr>
          <w:ilvl w:val="1"/>
          <w:numId w:val="5"/>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80">
      <w:pPr>
        <w:numPr>
          <w:ilvl w:val="3"/>
          <w:numId w:val="5"/>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3znysh7" w:id="3"/>
      <w:bookmarkEnd w:id="3"/>
      <w:r w:rsidDel="00000000" w:rsidR="00000000" w:rsidRPr="00000000">
        <w:rPr>
          <w:color w:val="000000"/>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81">
      <w:pPr>
        <w:numPr>
          <w:ilvl w:val="3"/>
          <w:numId w:val="5"/>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2et92p0" w:id="4"/>
      <w:bookmarkEnd w:id="4"/>
      <w:r w:rsidDel="00000000" w:rsidR="00000000" w:rsidRPr="00000000">
        <w:rPr>
          <w:color w:val="000000"/>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82">
      <w:pPr>
        <w:numPr>
          <w:ilvl w:val="3"/>
          <w:numId w:val="5"/>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r w:rsidDel="00000000" w:rsidR="00000000" w:rsidRPr="00000000">
        <w:rPr>
          <w:color w:val="000000"/>
          <w:rtl w:val="0"/>
        </w:rPr>
        <w:t xml:space="preserve">involve or could reasonably be considered to involve CNI;</w:t>
      </w:r>
    </w:p>
    <w:p w:rsidR="00000000" w:rsidDel="00000000" w:rsidP="00000000" w:rsidRDefault="00000000" w:rsidRPr="00000000" w14:paraId="00000083">
      <w:pPr>
        <w:numPr>
          <w:ilvl w:val="1"/>
          <w:numId w:val="5"/>
        </w:numPr>
        <w:pBdr>
          <w:top w:space="0" w:sz="0" w:val="nil"/>
          <w:left w:space="0" w:sz="0" w:val="nil"/>
          <w:bottom w:space="0" w:sz="0" w:val="nil"/>
          <w:right w:space="0" w:sz="0" w:val="nil"/>
          <w:between w:space="0" w:sz="0" w:val="nil"/>
        </w:pBdr>
        <w:spacing w:after="200" w:before="100" w:lineRule="auto"/>
        <w:ind w:left="720" w:hanging="720"/>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4">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85">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86">
      <w:pPr>
        <w:ind w:firstLine="1418"/>
        <w:rPr/>
      </w:pPr>
      <w:r w:rsidDel="00000000" w:rsidR="00000000" w:rsidRPr="00000000">
        <w:rPr>
          <w:rtl w:val="0"/>
        </w:rPr>
        <w:t xml:space="preserve">     </w:t>
      </w:r>
    </w:p>
    <w:p w:rsidR="00000000" w:rsidDel="00000000" w:rsidP="00000000" w:rsidRDefault="00000000" w:rsidRPr="00000000" w14:paraId="0000008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i w:val="0"/>
          <w:smallCaps w:val="0"/>
          <w:strike w:val="0"/>
          <w:color w:val="000000"/>
          <w:sz w:val="22"/>
          <w:szCs w:val="22"/>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so as to provide a simple, effective and easily understood overview of the Supplier Group; and</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in a simple, effective and easily understood manner.</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r w:rsidDel="00000000" w:rsidR="00000000" w:rsidRPr="00000000">
        <w:rPr>
          <w:rtl w:val="0"/>
        </w:rPr>
      </w:r>
    </w:p>
    <w:p w:rsidR="00000000" w:rsidDel="00000000" w:rsidP="00000000" w:rsidRDefault="00000000" w:rsidRPr="00000000" w14:paraId="00000091">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2">
      <w:pPr>
        <w:ind w:left="0" w:firstLine="0"/>
        <w:rPr>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r w:rsidDel="00000000" w:rsidR="00000000" w:rsidRPr="00000000">
      <w:rPr>
        <w:sz w:val="20"/>
        <w:szCs w:val="20"/>
        <w:rtl w:val="0"/>
      </w:rPr>
      <w:t xml:space="preserve">6297 Print and Digital Communications</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9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95">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96">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resolution.planning@cabinetoffice.gov.uk" TargetMode="Externa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